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5D" w:rsidRPr="004D3767" w:rsidRDefault="0044785D" w:rsidP="0044785D">
      <w:pPr>
        <w:pStyle w:val="Styl3podrcznik"/>
        <w:numPr>
          <w:ilvl w:val="2"/>
          <w:numId w:val="1"/>
        </w:numPr>
        <w:spacing w:before="240" w:after="240"/>
        <w:ind w:left="1134" w:right="323" w:hanging="708"/>
        <w:rPr>
          <w:rFonts w:ascii="Calibri" w:hAnsi="Calibri"/>
          <w:b/>
          <w:color w:val="009900"/>
        </w:rPr>
      </w:pPr>
      <w:bookmarkStart w:id="0" w:name="_Toc441100188"/>
      <w:r w:rsidRPr="004D3767">
        <w:rPr>
          <w:rFonts w:ascii="Calibri" w:hAnsi="Calibri"/>
          <w:b/>
          <w:color w:val="009900"/>
        </w:rPr>
        <w:t xml:space="preserve">Grupy </w:t>
      </w:r>
      <w:proofErr w:type="spellStart"/>
      <w:r w:rsidRPr="004D3767">
        <w:rPr>
          <w:rFonts w:ascii="Calibri" w:hAnsi="Calibri"/>
          <w:b/>
          <w:color w:val="009900"/>
        </w:rPr>
        <w:t>defaworyzowane</w:t>
      </w:r>
      <w:bookmarkEnd w:id="0"/>
      <w:proofErr w:type="spellEnd"/>
      <w:r w:rsidRPr="004D3767">
        <w:rPr>
          <w:rFonts w:ascii="Calibri" w:hAnsi="Calibri"/>
          <w:b/>
          <w:color w:val="009900"/>
        </w:rPr>
        <w:t xml:space="preserve"> </w:t>
      </w:r>
    </w:p>
    <w:p w:rsidR="0044785D" w:rsidRPr="004D3767" w:rsidRDefault="0044785D" w:rsidP="0044785D">
      <w:pPr>
        <w:spacing w:before="120" w:after="120" w:line="280" w:lineRule="exact"/>
        <w:rPr>
          <w:rFonts w:cs="Arial"/>
        </w:rPr>
      </w:pPr>
      <w:r w:rsidRPr="004D3767">
        <w:rPr>
          <w:rFonts w:cs="Arial"/>
        </w:rPr>
        <w:t xml:space="preserve">Zidentyfikowano następujące grupy </w:t>
      </w:r>
      <w:proofErr w:type="spellStart"/>
      <w:r w:rsidRPr="004D3767">
        <w:rPr>
          <w:rFonts w:cs="Arial"/>
        </w:rPr>
        <w:t>defaworyzowane</w:t>
      </w:r>
      <w:proofErr w:type="spellEnd"/>
      <w:r w:rsidRPr="004D3767">
        <w:rPr>
          <w:rFonts w:cs="Arial"/>
        </w:rPr>
        <w:t xml:space="preserve"> na obszarze LGD:</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 xml:space="preserve">Bezrobotni, w tym osoby młode </w:t>
      </w:r>
    </w:p>
    <w:p w:rsidR="0044785D" w:rsidRPr="004D3767" w:rsidRDefault="0044785D" w:rsidP="0044785D">
      <w:pPr>
        <w:spacing w:before="120" w:after="120" w:line="280" w:lineRule="exact"/>
        <w:rPr>
          <w:rFonts w:cs="Arial"/>
        </w:rPr>
      </w:pPr>
      <w:r w:rsidRPr="004D3767">
        <w:rPr>
          <w:rFonts w:cs="Arial"/>
        </w:rPr>
        <w:t>Grupę tę tworzą osoby, które są bezrobotnymi przez okres co najmniej 3 lat bez względu na wiek, oraz osoby w</w:t>
      </w:r>
      <w:r>
        <w:rPr>
          <w:rFonts w:cs="Arial"/>
        </w:rPr>
        <w:t> </w:t>
      </w:r>
      <w:r w:rsidRPr="004D3767">
        <w:rPr>
          <w:rFonts w:cs="Arial"/>
        </w:rPr>
        <w:t xml:space="preserve">wieku do 30 lat, które są bezrobotnymi przez okres co najmniej 2 lat. Na obszarze LGD, oprócz bezrobocia oficjalnego, panuje spore bezrobocie ukryte. Bezrobotni nie rejestrują się w urzędach pracy, czasem pracując dorywczo „w szarej strefie”. W szczególności problem ten dotyczy osób młodych, które po zakończeniu formalnej edukacji mają problem w znalezieniu zatrudnienia. Przyczyną tego jest brak doświadczenia (nawet ukończenie szkoły zawodowej czy technikum nie daje praktycznych podstaw zawodu, a jedynie wiedzę teoretyczną), problemy w obsłudze najnowszych technologii, braki znajomości języka obcego. Brakuje funduszy na dalszą edukację lub/i podnoszenie kwalifikacji. Założeniem LSR jest wspieranie osób, które przez dłuższy czas nie są nigdzie zatrudnieni, ale w szczególności ludzi młodych, po to, by nie tracili swojego najcenniejszego czasu produkcyjnego. Działania przewidziane dla tej grupy to ich aktywizacja zawodowa,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4"/>
        </w:numPr>
        <w:spacing w:before="120" w:after="120" w:line="280" w:lineRule="exact"/>
        <w:ind w:left="426"/>
        <w:rPr>
          <w:rFonts w:cs="Arial"/>
          <w:u w:val="single"/>
        </w:rPr>
      </w:pPr>
      <w:r w:rsidRPr="004D3767">
        <w:rPr>
          <w:rFonts w:cs="Arial"/>
          <w:u w:val="single"/>
        </w:rPr>
        <w:t>Kobiety, które po ukończeniu szkoły nie były obecne na rynku pracy lub opuściły go na kilka lat</w:t>
      </w:r>
    </w:p>
    <w:p w:rsidR="0044785D" w:rsidRPr="004D3767" w:rsidRDefault="0044785D" w:rsidP="0044785D">
      <w:pPr>
        <w:spacing w:before="120" w:after="120" w:line="280" w:lineRule="exact"/>
        <w:rPr>
          <w:rFonts w:cs="Arial"/>
        </w:rPr>
      </w:pPr>
      <w:r w:rsidRPr="004D3767">
        <w:rPr>
          <w:rFonts w:cs="Arial"/>
        </w:rPr>
        <w:t xml:space="preserve">Ta grupa to głównie kobiety, które po urodzeniu dziecka/ci nie podjęły pracy lub zrezygnowały z niej, gdyż zaangażowały się w opiekę nad potomstwem. Po kilku latach chcą podjąć pracę, ale brak im doświadczenia zawodowego, mają poważne braki w obsłudze nowych technologii, potrzebują doszkolenia, zmiany bądź podniesienia kwalifikacji. Często towarzyszy temu niewiara we własne siły, obawa przed niepowodzeniem, brak środków finansowych na prywatne kursy, szkolenia czy odpłatne zajęcia w szkołach (np. językowych). Dla takich osób LSR przewiduje działania aktywizujące zawodowo, zwiększające ich szanse na znalezienie zatrudnienia, oraz daje możliwość pozyskania środków na rozpoczęcie własnej działalności gospodarczej. Ponadto, LGD będzie premiować firmy z obszaru, które będą takie osoby zatrudniać. </w:t>
      </w:r>
    </w:p>
    <w:p w:rsidR="0044785D" w:rsidRPr="004D3767" w:rsidRDefault="0044785D" w:rsidP="0044785D">
      <w:pPr>
        <w:pStyle w:val="Akapitzlist"/>
        <w:numPr>
          <w:ilvl w:val="0"/>
          <w:numId w:val="3"/>
        </w:numPr>
        <w:spacing w:before="120" w:after="120" w:line="280" w:lineRule="exact"/>
        <w:ind w:left="426"/>
        <w:jc w:val="left"/>
        <w:rPr>
          <w:rFonts w:cs="Arial"/>
          <w:u w:val="single"/>
        </w:rPr>
      </w:pPr>
      <w:r w:rsidRPr="004D3767">
        <w:rPr>
          <w:rFonts w:cs="Arial"/>
          <w:u w:val="single"/>
        </w:rPr>
        <w:t>Osoby niepełnosprawne, których szanse na znalezienie zatrudnienia na wsi są niewielkie</w:t>
      </w:r>
    </w:p>
    <w:p w:rsidR="0044785D" w:rsidRPr="004D3767" w:rsidRDefault="0044785D" w:rsidP="0044785D">
      <w:pPr>
        <w:spacing w:before="120" w:after="120" w:line="280" w:lineRule="exact"/>
        <w:rPr>
          <w:rFonts w:cs="Arial"/>
        </w:rPr>
      </w:pPr>
      <w:r w:rsidRPr="004D3767">
        <w:rPr>
          <w:rFonts w:cs="Arial"/>
        </w:rPr>
        <w:t>Są to osoby o różnego typu niepełnosprawnościach (nie tylko fizycznych), dla których szansą jest praca w mieście, ale przy takiej opcji dochodzą problemy, które stanowią często bariery nie do przebycia: bariera komunikacyjna, odległość miejsca pracy od miejsca zamieszkania, problemy z dostępem na obszarach wiejskich do szerokopasmowego Internetu, który w pewnych przypadkach dawałby możliwości pracy zdalnej dla osoby niepełnosprawnej. Operacje realizowane w ramach LSR będą brały pod uwagę nie tylko działania dotyczące aktywizacji zawodowej tych osób ale również ułatwienie ich dostępu do infrastruktury i oferty społecznej (bariery architektoniczne itp.).</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w wieku 50+</w:t>
      </w:r>
    </w:p>
    <w:p w:rsidR="0044785D" w:rsidRPr="004D3767" w:rsidRDefault="0044785D" w:rsidP="0044785D">
      <w:pPr>
        <w:spacing w:before="120" w:after="120" w:line="280" w:lineRule="exact"/>
        <w:rPr>
          <w:rFonts w:cs="Arial"/>
        </w:rPr>
      </w:pPr>
      <w:r w:rsidRPr="004D3767">
        <w:rPr>
          <w:rFonts w:cs="Arial"/>
        </w:rPr>
        <w:t>Są to osoby, które utraciły dotychczasowe miejsca pracy z różnych przyczyn: w wyniku restrukturyzacji, długotrwałej choroby, które nie chciały/nie miały szansy podniesienia swoich kwalifikacji itp. Takim osobom trudno jest w tym wieku zmienić branżę, w której pracowali wiele lat; często nie nadążają za nowoczesnymi technologiami (konieczność obsługi komputera, sprawne poruszanie się po Internecie, obsługa różnego typu urządzeń i</w:t>
      </w:r>
      <w:r>
        <w:rPr>
          <w:rFonts w:cs="Arial"/>
        </w:rPr>
        <w:t> </w:t>
      </w:r>
      <w:r w:rsidRPr="004D3767">
        <w:rPr>
          <w:rFonts w:cs="Arial"/>
        </w:rPr>
        <w:t xml:space="preserve">multimediów). Do braku kompetencji często dochodzi brak wiary w siebie i w swoje umiejętności, niechęć do podnoszenia kwalifikacji, obawa przed niepowodzeniem, zły stan zdrowia. LSR będzie wspierać osoby z tej grupy poprzez ich aktywizację zawodową, udostępnianie środków na rozpoczęcie własnej działalności gospodarczej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lastRenderedPageBreak/>
        <w:t>Rolnicy</w:t>
      </w:r>
    </w:p>
    <w:p w:rsidR="0044785D" w:rsidRPr="004D3767" w:rsidRDefault="0044785D" w:rsidP="0044785D">
      <w:pPr>
        <w:spacing w:before="120" w:after="120" w:line="280" w:lineRule="exact"/>
        <w:rPr>
          <w:rFonts w:cs="Arial"/>
        </w:rPr>
      </w:pPr>
      <w:r w:rsidRPr="004D3767">
        <w:rPr>
          <w:rFonts w:cs="Arial"/>
        </w:rPr>
        <w:t>Są to te osoby, utrzymujące się do tej pory z rolnictwa, które ze względu na niską opłacalność produkcji musiały zrezygnować z pracy we własnym gospodarstwie i poszukują zatrudnienia poza rolnictwem. Problemem dla tych osób jest brak innych kompetencji, konieczność zupełnego przekwalifikowania się, trudności w zaadaptowaniu się w</w:t>
      </w:r>
      <w:r>
        <w:rPr>
          <w:rFonts w:cs="Arial"/>
        </w:rPr>
        <w:t> </w:t>
      </w:r>
      <w:r w:rsidRPr="004D3767">
        <w:rPr>
          <w:rFonts w:cs="Arial"/>
        </w:rPr>
        <w:t xml:space="preserve">innym systemie pracy (szef-pracownik, normowany czas pracy itp.), trudności w dojeździe do pracy (niedostatecznie sprawny transport publiczny ze wsi do miasta). Dla znacznej grupy rolników praca w gospodarstwie rolnym ma charakter pracy sezonowej. Brak infrastruktury i warunków np. do przechowywania płodów rolnych uniemożliwia im handel w okresie zimowym – w efekcie są oni przez połowę roku bezrobotni. Część z nich chciałaby zająć się działalnością pozarolniczą, jednak brakuje im środków finansowych na rozpoczęcie działalności innej niż tradycyjne rolnictwo. Problem rolników poszukujących innego rodzaju zatrudnienia występuje najczęściej na terenie gmin rolniczych: Igołomii-Wawrzeńczyce i </w:t>
      </w:r>
      <w:proofErr w:type="spellStart"/>
      <w:r w:rsidRPr="004D3767">
        <w:rPr>
          <w:rFonts w:cs="Arial"/>
        </w:rPr>
        <w:t>Kocmyrzowa-Luborzycy</w:t>
      </w:r>
      <w:proofErr w:type="spellEnd"/>
      <w:r w:rsidRPr="004D3767">
        <w:rPr>
          <w:rFonts w:cs="Arial"/>
        </w:rPr>
        <w:t>. LSR będzie wspierać osoby z tej grupy poprzez ich aktywizację zawodową, udostępnianie środków na rozpoczęcie własnej działalności gospodarczej (w</w:t>
      </w:r>
      <w:r>
        <w:rPr>
          <w:rFonts w:cs="Arial"/>
        </w:rPr>
        <w:t> </w:t>
      </w:r>
      <w:r w:rsidRPr="004D3767">
        <w:rPr>
          <w:rFonts w:cs="Arial"/>
        </w:rPr>
        <w:t xml:space="preserve">szczególności dotyczącej produkcji artykułów spożywczych i napojów) oraz premiowanie firm z obszaru LGD, które będą takie osoby zatrudniać.  </w:t>
      </w:r>
    </w:p>
    <w:p w:rsidR="0044785D" w:rsidRPr="004D3767" w:rsidRDefault="0044785D" w:rsidP="0044785D">
      <w:pPr>
        <w:pStyle w:val="Akapitzlist"/>
        <w:numPr>
          <w:ilvl w:val="0"/>
          <w:numId w:val="3"/>
        </w:numPr>
        <w:spacing w:before="120" w:after="120" w:line="280" w:lineRule="exact"/>
        <w:ind w:left="426"/>
        <w:rPr>
          <w:rFonts w:cs="Arial"/>
          <w:u w:val="single"/>
        </w:rPr>
      </w:pPr>
      <w:r w:rsidRPr="004D3767">
        <w:rPr>
          <w:rFonts w:cs="Arial"/>
          <w:u w:val="single"/>
        </w:rPr>
        <w:t>Osoby korzystające z pomocy społecznej</w:t>
      </w:r>
    </w:p>
    <w:p w:rsidR="0044785D" w:rsidRPr="004D3767" w:rsidRDefault="0044785D" w:rsidP="0044785D">
      <w:pPr>
        <w:spacing w:before="120" w:after="120" w:line="280" w:lineRule="exact"/>
        <w:rPr>
          <w:rFonts w:cs="Arial"/>
        </w:rPr>
      </w:pPr>
      <w:r w:rsidRPr="004D3767">
        <w:rPr>
          <w:rFonts w:cs="Arial"/>
        </w:rPr>
        <w:t>Choć ubóstwo na obszarze LGD nie stanowi bardzo poważnego problemu, to jednak istnieje. Dane odnośnie osób korzystających z pomocy społecznej przedstawia tabela poniżej:</w:t>
      </w:r>
    </w:p>
    <w:p w:rsidR="0044785D" w:rsidRPr="004D3767" w:rsidRDefault="0044785D" w:rsidP="0044785D">
      <w:pPr>
        <w:pStyle w:val="Legenda"/>
      </w:pPr>
      <w:bookmarkStart w:id="1" w:name="_Toc441100088"/>
      <w:r w:rsidRPr="004D3767">
        <w:t xml:space="preserve">Tabela </w:t>
      </w:r>
      <w:r w:rsidRPr="004D3767">
        <w:fldChar w:fldCharType="begin"/>
      </w:r>
      <w:r w:rsidRPr="004D3767">
        <w:instrText xml:space="preserve"> SEQ Tabela \* ARABIC </w:instrText>
      </w:r>
      <w:r w:rsidRPr="004D3767">
        <w:fldChar w:fldCharType="separate"/>
      </w:r>
      <w:r>
        <w:rPr>
          <w:noProof/>
        </w:rPr>
        <w:t>5</w:t>
      </w:r>
      <w:r w:rsidRPr="004D3767">
        <w:rPr>
          <w:noProof/>
        </w:rPr>
        <w:fldChar w:fldCharType="end"/>
      </w:r>
      <w:r w:rsidRPr="004D3767">
        <w:t>: Osoby w gospodarstwach domowych korzystające z pomocy społecznej</w:t>
      </w:r>
      <w:r w:rsidRPr="004D3767">
        <w:rPr>
          <w:rStyle w:val="Odwoanieprzypisudolnego"/>
        </w:rPr>
        <w:footnoteReference w:id="1"/>
      </w:r>
      <w:bookmarkEnd w:id="1"/>
    </w:p>
    <w:tbl>
      <w:tblPr>
        <w:tblW w:w="10348" w:type="dxa"/>
        <w:tblInd w:w="108"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shd w:val="clear" w:color="auto" w:fill="99FF66"/>
        <w:tblLook w:val="04A0" w:firstRow="1" w:lastRow="0" w:firstColumn="1" w:lastColumn="0" w:noHBand="0" w:noVBand="1"/>
      </w:tblPr>
      <w:tblGrid>
        <w:gridCol w:w="2566"/>
        <w:gridCol w:w="1687"/>
        <w:gridCol w:w="1559"/>
        <w:gridCol w:w="2126"/>
        <w:gridCol w:w="2410"/>
      </w:tblGrid>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r w:rsidRPr="00040AE7">
              <w:rPr>
                <w:rFonts w:cs="Arial"/>
                <w:b/>
              </w:rPr>
              <w:t>Gmina</w:t>
            </w:r>
          </w:p>
        </w:tc>
        <w:tc>
          <w:tcPr>
            <w:tcW w:w="324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Liczba osób</w:t>
            </w:r>
          </w:p>
        </w:tc>
        <w:tc>
          <w:tcPr>
            <w:tcW w:w="4536" w:type="dxa"/>
            <w:gridSpan w:val="2"/>
            <w:shd w:val="clear" w:color="auto" w:fill="99FF66"/>
          </w:tcPr>
          <w:p w:rsidR="0044785D" w:rsidRPr="00040AE7" w:rsidRDefault="0044785D" w:rsidP="0053111A">
            <w:pPr>
              <w:spacing w:line="240" w:lineRule="auto"/>
              <w:jc w:val="center"/>
              <w:rPr>
                <w:rFonts w:cs="Arial"/>
                <w:b/>
              </w:rPr>
            </w:pPr>
            <w:r w:rsidRPr="00040AE7">
              <w:rPr>
                <w:rFonts w:cs="Arial"/>
                <w:b/>
              </w:rPr>
              <w:t>Zasięg korzystania z pomocy społecznej</w:t>
            </w:r>
            <w:r w:rsidRPr="00040AE7">
              <w:rPr>
                <w:rFonts w:cs="Arial"/>
                <w:b/>
                <w:vertAlign w:val="superscript"/>
              </w:rPr>
              <w:footnoteReference w:id="2"/>
            </w:r>
            <w:r w:rsidRPr="00040AE7">
              <w:rPr>
                <w:rFonts w:cs="Arial"/>
                <w:b/>
                <w:vertAlign w:val="superscript"/>
              </w:rPr>
              <w:t xml:space="preserve"> </w:t>
            </w:r>
          </w:p>
        </w:tc>
      </w:tr>
      <w:tr w:rsidR="0044785D" w:rsidRPr="004D3767" w:rsidTr="0053111A">
        <w:tc>
          <w:tcPr>
            <w:tcW w:w="2566" w:type="dxa"/>
            <w:shd w:val="clear" w:color="auto" w:fill="99FF66"/>
          </w:tcPr>
          <w:p w:rsidR="0044785D" w:rsidRPr="00040AE7" w:rsidRDefault="0044785D" w:rsidP="0053111A">
            <w:pPr>
              <w:spacing w:line="240" w:lineRule="auto"/>
              <w:jc w:val="center"/>
              <w:rPr>
                <w:rFonts w:cs="Arial"/>
                <w:b/>
              </w:rPr>
            </w:pPr>
          </w:p>
        </w:tc>
        <w:tc>
          <w:tcPr>
            <w:tcW w:w="1687"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1559"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c>
          <w:tcPr>
            <w:tcW w:w="2126" w:type="dxa"/>
            <w:shd w:val="clear" w:color="auto" w:fill="99FF66"/>
          </w:tcPr>
          <w:p w:rsidR="0044785D" w:rsidRPr="00040AE7" w:rsidRDefault="0044785D" w:rsidP="0053111A">
            <w:pPr>
              <w:spacing w:line="240" w:lineRule="auto"/>
              <w:jc w:val="center"/>
              <w:rPr>
                <w:rFonts w:cs="Arial"/>
                <w:b/>
              </w:rPr>
            </w:pPr>
            <w:r w:rsidRPr="00040AE7">
              <w:rPr>
                <w:rFonts w:cs="Arial"/>
                <w:b/>
              </w:rPr>
              <w:t>2013</w:t>
            </w:r>
          </w:p>
        </w:tc>
        <w:tc>
          <w:tcPr>
            <w:tcW w:w="2410" w:type="dxa"/>
            <w:shd w:val="clear" w:color="auto" w:fill="99FF66"/>
          </w:tcPr>
          <w:p w:rsidR="0044785D" w:rsidRPr="00040AE7" w:rsidRDefault="0044785D" w:rsidP="0053111A">
            <w:pPr>
              <w:spacing w:line="240" w:lineRule="auto"/>
              <w:jc w:val="center"/>
              <w:rPr>
                <w:rFonts w:cs="Arial"/>
                <w:b/>
              </w:rPr>
            </w:pPr>
            <w:r w:rsidRPr="00040AE7">
              <w:rPr>
                <w:rFonts w:cs="Arial"/>
                <w:b/>
              </w:rPr>
              <w:t>2014</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Igołomia-Wawrzeńczyce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645</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8,3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6,6 %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Kocmyrzów-Luborzyca</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519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506</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3,6</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3,4 %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Michałowice</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449</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492</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4,7</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5.0 %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Wielka Wieś</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572</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579</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5,3</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5,2 %</w:t>
            </w:r>
          </w:p>
        </w:tc>
      </w:tr>
      <w:tr w:rsidR="0044785D" w:rsidRPr="004D3767" w:rsidTr="0053111A">
        <w:tc>
          <w:tcPr>
            <w:tcW w:w="2566" w:type="dxa"/>
            <w:shd w:val="clear" w:color="auto" w:fill="auto"/>
          </w:tcPr>
          <w:p w:rsidR="0044785D" w:rsidRPr="00040AE7" w:rsidRDefault="0044785D" w:rsidP="0053111A">
            <w:pPr>
              <w:spacing w:line="240" w:lineRule="auto"/>
              <w:rPr>
                <w:rFonts w:cs="Arial"/>
              </w:rPr>
            </w:pPr>
            <w:r w:rsidRPr="00040AE7">
              <w:rPr>
                <w:rFonts w:cs="Arial"/>
              </w:rPr>
              <w:t>Zielonki</w:t>
            </w:r>
          </w:p>
        </w:tc>
        <w:tc>
          <w:tcPr>
            <w:tcW w:w="1687" w:type="dxa"/>
            <w:shd w:val="clear" w:color="auto" w:fill="auto"/>
          </w:tcPr>
          <w:p w:rsidR="0044785D" w:rsidRPr="00040AE7" w:rsidRDefault="0044785D" w:rsidP="0053111A">
            <w:pPr>
              <w:spacing w:line="240" w:lineRule="auto"/>
              <w:jc w:val="right"/>
              <w:rPr>
                <w:rFonts w:cs="Arial"/>
              </w:rPr>
            </w:pPr>
            <w:r w:rsidRPr="00040AE7">
              <w:rPr>
                <w:rFonts w:cs="Arial"/>
              </w:rPr>
              <w:t>628</w:t>
            </w:r>
          </w:p>
        </w:tc>
        <w:tc>
          <w:tcPr>
            <w:tcW w:w="1559" w:type="dxa"/>
            <w:shd w:val="clear" w:color="auto" w:fill="auto"/>
          </w:tcPr>
          <w:p w:rsidR="0044785D" w:rsidRPr="00040AE7" w:rsidRDefault="0044785D" w:rsidP="0053111A">
            <w:pPr>
              <w:spacing w:line="240" w:lineRule="auto"/>
              <w:jc w:val="right"/>
              <w:rPr>
                <w:rFonts w:cs="Arial"/>
              </w:rPr>
            </w:pPr>
            <w:r w:rsidRPr="00040AE7">
              <w:rPr>
                <w:rFonts w:cs="Arial"/>
              </w:rPr>
              <w:t>608</w:t>
            </w:r>
          </w:p>
        </w:tc>
        <w:tc>
          <w:tcPr>
            <w:tcW w:w="2126" w:type="dxa"/>
            <w:shd w:val="clear" w:color="auto" w:fill="auto"/>
          </w:tcPr>
          <w:p w:rsidR="0044785D" w:rsidRPr="00040AE7" w:rsidRDefault="0044785D" w:rsidP="0053111A">
            <w:pPr>
              <w:spacing w:line="240" w:lineRule="auto"/>
              <w:jc w:val="right"/>
              <w:rPr>
                <w:rFonts w:cs="Arial"/>
              </w:rPr>
            </w:pPr>
            <w:r w:rsidRPr="00040AE7">
              <w:rPr>
                <w:rFonts w:cs="Arial"/>
              </w:rPr>
              <w:t>3,1</w:t>
            </w:r>
          </w:p>
        </w:tc>
        <w:tc>
          <w:tcPr>
            <w:tcW w:w="2410" w:type="dxa"/>
            <w:shd w:val="clear" w:color="auto" w:fill="auto"/>
          </w:tcPr>
          <w:p w:rsidR="0044785D" w:rsidRPr="00040AE7" w:rsidRDefault="0044785D" w:rsidP="0053111A">
            <w:pPr>
              <w:spacing w:line="240" w:lineRule="auto"/>
              <w:jc w:val="right"/>
              <w:rPr>
                <w:rFonts w:cs="Arial"/>
              </w:rPr>
            </w:pPr>
            <w:r w:rsidRPr="00040AE7">
              <w:rPr>
                <w:rFonts w:cs="Arial"/>
              </w:rPr>
              <w:t>3,0 %</w:t>
            </w:r>
          </w:p>
        </w:tc>
      </w:tr>
      <w:tr w:rsidR="0044785D" w:rsidRPr="004D3767" w:rsidTr="0053111A">
        <w:tc>
          <w:tcPr>
            <w:tcW w:w="2566" w:type="dxa"/>
            <w:shd w:val="clear" w:color="auto" w:fill="auto"/>
          </w:tcPr>
          <w:p w:rsidR="0044785D" w:rsidRPr="00040AE7" w:rsidRDefault="0044785D" w:rsidP="0053111A">
            <w:pPr>
              <w:spacing w:line="240" w:lineRule="auto"/>
              <w:rPr>
                <w:rFonts w:cs="Arial"/>
                <w:b/>
              </w:rPr>
            </w:pPr>
            <w:r w:rsidRPr="00040AE7">
              <w:rPr>
                <w:rFonts w:cs="Arial"/>
                <w:b/>
              </w:rPr>
              <w:t>Razem</w:t>
            </w:r>
          </w:p>
        </w:tc>
        <w:tc>
          <w:tcPr>
            <w:tcW w:w="1687" w:type="dxa"/>
            <w:shd w:val="clear" w:color="auto" w:fill="auto"/>
          </w:tcPr>
          <w:p w:rsidR="0044785D" w:rsidRPr="00040AE7" w:rsidRDefault="0044785D" w:rsidP="0053111A">
            <w:pPr>
              <w:spacing w:line="240" w:lineRule="auto"/>
              <w:jc w:val="right"/>
              <w:rPr>
                <w:rFonts w:cs="Arial"/>
                <w:b/>
              </w:rPr>
            </w:pPr>
            <w:r w:rsidRPr="00040AE7">
              <w:rPr>
                <w:rFonts w:cs="Arial"/>
                <w:b/>
              </w:rPr>
              <w:t>2813</w:t>
            </w:r>
          </w:p>
        </w:tc>
        <w:tc>
          <w:tcPr>
            <w:tcW w:w="1559" w:type="dxa"/>
            <w:shd w:val="clear" w:color="auto" w:fill="auto"/>
          </w:tcPr>
          <w:p w:rsidR="0044785D" w:rsidRPr="00040AE7" w:rsidRDefault="0044785D" w:rsidP="0053111A">
            <w:pPr>
              <w:spacing w:line="240" w:lineRule="auto"/>
              <w:jc w:val="right"/>
              <w:rPr>
                <w:rFonts w:cs="Arial"/>
                <w:b/>
              </w:rPr>
            </w:pPr>
            <w:r w:rsidRPr="00040AE7">
              <w:rPr>
                <w:rFonts w:cs="Arial"/>
                <w:b/>
              </w:rPr>
              <w:t>2694</w:t>
            </w:r>
          </w:p>
        </w:tc>
        <w:tc>
          <w:tcPr>
            <w:tcW w:w="2126" w:type="dxa"/>
            <w:shd w:val="clear" w:color="auto" w:fill="auto"/>
          </w:tcPr>
          <w:p w:rsidR="0044785D" w:rsidRPr="00040AE7" w:rsidRDefault="0044785D" w:rsidP="0053111A">
            <w:pPr>
              <w:spacing w:line="240" w:lineRule="auto"/>
              <w:jc w:val="right"/>
              <w:rPr>
                <w:rFonts w:cs="Arial"/>
                <w:b/>
              </w:rPr>
            </w:pPr>
            <w:r w:rsidRPr="00040AE7">
              <w:rPr>
                <w:rFonts w:cs="Arial"/>
                <w:b/>
              </w:rPr>
              <w:t>4,45 %</w:t>
            </w:r>
          </w:p>
        </w:tc>
        <w:tc>
          <w:tcPr>
            <w:tcW w:w="2410" w:type="dxa"/>
            <w:shd w:val="clear" w:color="auto" w:fill="auto"/>
          </w:tcPr>
          <w:p w:rsidR="0044785D" w:rsidRPr="00040AE7" w:rsidRDefault="0044785D" w:rsidP="0053111A">
            <w:pPr>
              <w:spacing w:line="240" w:lineRule="auto"/>
              <w:jc w:val="right"/>
              <w:rPr>
                <w:rFonts w:cs="Arial"/>
                <w:b/>
              </w:rPr>
            </w:pPr>
            <w:r w:rsidRPr="00040AE7">
              <w:rPr>
                <w:rFonts w:cs="Arial"/>
                <w:b/>
              </w:rPr>
              <w:t>-</w:t>
            </w:r>
          </w:p>
        </w:tc>
      </w:tr>
    </w:tbl>
    <w:p w:rsidR="0044785D" w:rsidRPr="004D3767" w:rsidRDefault="0044785D" w:rsidP="0044785D">
      <w:pPr>
        <w:spacing w:before="120" w:after="120" w:line="280" w:lineRule="exact"/>
        <w:rPr>
          <w:rFonts w:cs="Arial"/>
        </w:rPr>
      </w:pPr>
      <w:r w:rsidRPr="004D3767">
        <w:rPr>
          <w:rFonts w:cs="Arial"/>
        </w:rPr>
        <w:t>W 2014 r. liczba osób korzystających z pomocy społecznej zmniejszyła się o 119 w porównaniu do roku wcześniejszego. Niemniej jednak, według stanu na 31 grudnia 2013 r., zasięg korzystania z pomocy społecznej dla obszaru LGD wynosił średnio 4,45 %.</w:t>
      </w:r>
    </w:p>
    <w:p w:rsidR="0044785D" w:rsidRPr="004D3767" w:rsidRDefault="0044785D" w:rsidP="0044785D">
      <w:pPr>
        <w:spacing w:before="120" w:after="120" w:line="280" w:lineRule="exact"/>
        <w:rPr>
          <w:rFonts w:cs="Arial"/>
        </w:rPr>
      </w:pPr>
      <w:r w:rsidRPr="004D3767">
        <w:rPr>
          <w:rFonts w:cs="Arial"/>
        </w:rPr>
        <w:t xml:space="preserve">Działania przewidziane w LSR będą skierowane do takich osób, w szczególności poprzez ich aktywizację zawodową (młodzież i dorośli), a także do dzieci (aktywność społeczna, edukacja, dostęp do kultury i technologii), aby nie powielały one </w:t>
      </w:r>
      <w:proofErr w:type="spellStart"/>
      <w:r w:rsidRPr="004D3767">
        <w:rPr>
          <w:rFonts w:cs="Arial"/>
        </w:rPr>
        <w:t>zachowań</w:t>
      </w:r>
      <w:proofErr w:type="spellEnd"/>
      <w:r w:rsidRPr="004D3767">
        <w:rPr>
          <w:rFonts w:cs="Arial"/>
        </w:rPr>
        <w:t xml:space="preserve"> i modeli życia prowadzących do wykluczenia społecznego.</w:t>
      </w:r>
    </w:p>
    <w:p w:rsidR="0044785D" w:rsidRPr="004D3767" w:rsidRDefault="0044785D" w:rsidP="0044785D">
      <w:pPr>
        <w:spacing w:before="120" w:after="120" w:line="280" w:lineRule="exact"/>
        <w:rPr>
          <w:rFonts w:cs="Arial"/>
          <w:u w:val="single"/>
        </w:rPr>
      </w:pPr>
      <w:r w:rsidRPr="004D3767">
        <w:rPr>
          <w:rFonts w:cs="Arial"/>
          <w:u w:val="single"/>
        </w:rPr>
        <w:t xml:space="preserve">Niezależnie od zdefiniowania grup docelowych i </w:t>
      </w:r>
      <w:proofErr w:type="spellStart"/>
      <w:r w:rsidRPr="004D3767">
        <w:rPr>
          <w:rFonts w:cs="Arial"/>
          <w:u w:val="single"/>
        </w:rPr>
        <w:t>defaworyzowanych</w:t>
      </w:r>
      <w:proofErr w:type="spellEnd"/>
      <w:r w:rsidRPr="004D3767">
        <w:rPr>
          <w:rFonts w:cs="Arial"/>
          <w:u w:val="single"/>
        </w:rPr>
        <w:t xml:space="preserve">, produkty operacji realizowanych w ramach LSR będą służyć również ogółowi społeczeństwa.  </w:t>
      </w:r>
    </w:p>
    <w:p w:rsidR="001B507A" w:rsidRDefault="001B507A">
      <w:bookmarkStart w:id="2" w:name="_GoBack"/>
      <w:bookmarkEnd w:id="2"/>
    </w:p>
    <w:sectPr w:rsidR="001B5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B1" w:rsidRDefault="00A659B1" w:rsidP="0044785D">
      <w:pPr>
        <w:spacing w:line="240" w:lineRule="auto"/>
      </w:pPr>
      <w:r>
        <w:separator/>
      </w:r>
    </w:p>
  </w:endnote>
  <w:endnote w:type="continuationSeparator" w:id="0">
    <w:p w:rsidR="00A659B1" w:rsidRDefault="00A659B1" w:rsidP="0044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B1" w:rsidRDefault="00A659B1" w:rsidP="0044785D">
      <w:pPr>
        <w:spacing w:line="240" w:lineRule="auto"/>
      </w:pPr>
      <w:r>
        <w:separator/>
      </w:r>
    </w:p>
  </w:footnote>
  <w:footnote w:type="continuationSeparator" w:id="0">
    <w:p w:rsidR="00A659B1" w:rsidRDefault="00A659B1" w:rsidP="0044785D">
      <w:pPr>
        <w:spacing w:line="240" w:lineRule="auto"/>
      </w:pPr>
      <w:r>
        <w:continuationSeparator/>
      </w:r>
    </w:p>
  </w:footnote>
  <w:footnote w:id="1">
    <w:p w:rsidR="0044785D" w:rsidRPr="002F0B1D" w:rsidRDefault="0044785D" w:rsidP="0044785D">
      <w:pPr>
        <w:pStyle w:val="Tekstprzypisudolnego"/>
        <w:rPr>
          <w:sz w:val="22"/>
          <w:szCs w:val="22"/>
        </w:rPr>
      </w:pPr>
      <w:r w:rsidRPr="002F0B1D">
        <w:rPr>
          <w:rStyle w:val="Odwoanieprzypisudolnego"/>
          <w:sz w:val="22"/>
          <w:szCs w:val="22"/>
        </w:rPr>
        <w:footnoteRef/>
      </w:r>
      <w:r w:rsidRPr="002F0B1D">
        <w:rPr>
          <w:sz w:val="22"/>
          <w:szCs w:val="22"/>
        </w:rPr>
        <w:t xml:space="preserve"> Dane GUS, BDL; stan na 31.XII.2013 r.</w:t>
      </w:r>
    </w:p>
  </w:footnote>
  <w:footnote w:id="2">
    <w:p w:rsidR="0044785D" w:rsidRPr="002F0B1D" w:rsidRDefault="0044785D" w:rsidP="0044785D">
      <w:pPr>
        <w:spacing w:line="240" w:lineRule="auto"/>
        <w:ind w:left="142" w:hanging="142"/>
        <w:jc w:val="left"/>
      </w:pPr>
      <w:r w:rsidRPr="002F0B1D">
        <w:rPr>
          <w:rStyle w:val="Odwoanieprzypisudolnego"/>
        </w:rPr>
        <w:footnoteRef/>
      </w:r>
      <w:r w:rsidRPr="002F0B1D">
        <w:t xml:space="preserve"> Zasięg korzystania z pomocy społecznej to udział osób w gospodarstwach domowych korzystających z</w:t>
      </w:r>
      <w:r>
        <w:t> </w:t>
      </w:r>
      <w:r w:rsidRPr="002F0B1D">
        <w:t>pomocy społecznej w ludności ogółem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84F"/>
    <w:multiLevelType w:val="multilevel"/>
    <w:tmpl w:val="40B271D6"/>
    <w:lvl w:ilvl="0">
      <w:start w:val="3"/>
      <w:numFmt w:val="decimal"/>
      <w:lvlText w:val="%1"/>
      <w:lvlJc w:val="left"/>
      <w:pPr>
        <w:ind w:left="528" w:hanging="528"/>
      </w:pPr>
      <w:rPr>
        <w:rFonts w:cs="Calibri" w:hint="default"/>
        <w:b/>
        <w:color w:val="auto"/>
      </w:rPr>
    </w:lvl>
    <w:lvl w:ilvl="1">
      <w:start w:val="1"/>
      <w:numFmt w:val="decimal"/>
      <w:lvlText w:val="%1.%2."/>
      <w:lvlJc w:val="left"/>
      <w:pPr>
        <w:ind w:left="1080" w:hanging="720"/>
      </w:pPr>
      <w:rPr>
        <w:rFonts w:ascii="Cambria" w:hAnsi="Cambria" w:cs="Times New Roman" w:hint="default"/>
        <w:b/>
        <w:color w:val="auto"/>
      </w:rPr>
    </w:lvl>
    <w:lvl w:ilvl="2">
      <w:start w:val="1"/>
      <w:numFmt w:val="decimal"/>
      <w:pStyle w:val="Styl3podrcznik"/>
      <w:lvlText w:val="%1.%2.%3."/>
      <w:lvlJc w:val="left"/>
      <w:pPr>
        <w:ind w:left="1800" w:hanging="1080"/>
      </w:pPr>
      <w:rPr>
        <w:rFonts w:ascii="Arial" w:hAnsi="Arial" w:cs="Arial" w:hint="default"/>
        <w:b w:val="0"/>
        <w:color w:val="009900"/>
      </w:rPr>
    </w:lvl>
    <w:lvl w:ilvl="3">
      <w:start w:val="1"/>
      <w:numFmt w:val="decimal"/>
      <w:lvlText w:val="%1.%2.%3.%4."/>
      <w:lvlJc w:val="left"/>
      <w:pPr>
        <w:ind w:left="2160" w:hanging="1080"/>
      </w:pPr>
      <w:rPr>
        <w:rFonts w:ascii="Cambria" w:hAnsi="Cambria" w:cs="Times New Roman" w:hint="default"/>
        <w:b/>
        <w:color w:val="auto"/>
      </w:rPr>
    </w:lvl>
    <w:lvl w:ilvl="4">
      <w:start w:val="1"/>
      <w:numFmt w:val="decimal"/>
      <w:lvlText w:val="%1.%2.%3.%4.%5."/>
      <w:lvlJc w:val="left"/>
      <w:pPr>
        <w:ind w:left="2880" w:hanging="1440"/>
      </w:pPr>
      <w:rPr>
        <w:rFonts w:ascii="Cambria" w:hAnsi="Cambria" w:cs="Times New Roman" w:hint="default"/>
        <w:b/>
        <w:color w:val="auto"/>
      </w:rPr>
    </w:lvl>
    <w:lvl w:ilvl="5">
      <w:start w:val="1"/>
      <w:numFmt w:val="decimal"/>
      <w:lvlText w:val="%1.%2.%3.%4.%5.%6."/>
      <w:lvlJc w:val="left"/>
      <w:pPr>
        <w:ind w:left="3600" w:hanging="1800"/>
      </w:pPr>
      <w:rPr>
        <w:rFonts w:ascii="Cambria" w:hAnsi="Cambria" w:cs="Times New Roman" w:hint="default"/>
        <w:b/>
        <w:color w:val="auto"/>
      </w:rPr>
    </w:lvl>
    <w:lvl w:ilvl="6">
      <w:start w:val="1"/>
      <w:numFmt w:val="decimal"/>
      <w:lvlText w:val="%1.%2.%3.%4.%5.%6.%7."/>
      <w:lvlJc w:val="left"/>
      <w:pPr>
        <w:ind w:left="4320" w:hanging="2160"/>
      </w:pPr>
      <w:rPr>
        <w:rFonts w:ascii="Cambria" w:hAnsi="Cambria" w:cs="Times New Roman" w:hint="default"/>
        <w:b/>
        <w:color w:val="auto"/>
      </w:rPr>
    </w:lvl>
    <w:lvl w:ilvl="7">
      <w:start w:val="1"/>
      <w:numFmt w:val="decimal"/>
      <w:lvlText w:val="%1.%2.%3.%4.%5.%6.%7.%8."/>
      <w:lvlJc w:val="left"/>
      <w:pPr>
        <w:ind w:left="4680" w:hanging="2160"/>
      </w:pPr>
      <w:rPr>
        <w:rFonts w:ascii="Cambria" w:hAnsi="Cambria" w:cs="Times New Roman" w:hint="default"/>
        <w:b/>
        <w:color w:val="auto"/>
      </w:rPr>
    </w:lvl>
    <w:lvl w:ilvl="8">
      <w:start w:val="1"/>
      <w:numFmt w:val="decimal"/>
      <w:lvlText w:val="%1.%2.%3.%4.%5.%6.%7.%8.%9."/>
      <w:lvlJc w:val="left"/>
      <w:pPr>
        <w:ind w:left="5400" w:hanging="2520"/>
      </w:pPr>
      <w:rPr>
        <w:rFonts w:ascii="Cambria" w:hAnsi="Cambria" w:cs="Times New Roman" w:hint="default"/>
        <w:b/>
        <w:color w:val="auto"/>
      </w:rPr>
    </w:lvl>
  </w:abstractNum>
  <w:abstractNum w:abstractNumId="1" w15:restartNumberingAfterBreak="0">
    <w:nsid w:val="2CD06A1D"/>
    <w:multiLevelType w:val="multilevel"/>
    <w:tmpl w:val="7F3ECD1C"/>
    <w:lvl w:ilvl="0">
      <w:start w:val="1"/>
      <w:numFmt w:val="decimal"/>
      <w:lvlText w:val="%1."/>
      <w:lvlJc w:val="left"/>
      <w:pPr>
        <w:ind w:left="360" w:hanging="360"/>
      </w:pPr>
      <w:rPr>
        <w:rFonts w:hint="default"/>
        <w:sz w:val="32"/>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46507"/>
    <w:multiLevelType w:val="hybridMultilevel"/>
    <w:tmpl w:val="1AF80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A70CDF"/>
    <w:multiLevelType w:val="hybridMultilevel"/>
    <w:tmpl w:val="ED906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5D"/>
    <w:rsid w:val="001B507A"/>
    <w:rsid w:val="0044785D"/>
    <w:rsid w:val="00A65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7A36-39DB-4494-9092-6E6DE6C2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785D"/>
    <w:pPr>
      <w:spacing w:after="0" w:line="360" w:lineRule="auto"/>
      <w:jc w:val="both"/>
    </w:pPr>
    <w:rPr>
      <w:rFonts w:ascii="Calibri" w:eastAsia="Times New Roman" w:hAnsi="Calibri" w:cs="Calibri"/>
      <w:lang w:eastAsia="pl-PL"/>
    </w:rPr>
  </w:style>
  <w:style w:type="paragraph" w:styleId="Nagwek3">
    <w:name w:val="heading 3"/>
    <w:basedOn w:val="Normalny"/>
    <w:next w:val="Normalny"/>
    <w:link w:val="Nagwek3Znak"/>
    <w:uiPriority w:val="9"/>
    <w:semiHidden/>
    <w:unhideWhenUsed/>
    <w:qFormat/>
    <w:rsid w:val="004478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autoRedefine/>
    <w:qFormat/>
    <w:rsid w:val="0044785D"/>
    <w:pPr>
      <w:spacing w:before="240" w:after="120" w:line="280" w:lineRule="exact"/>
      <w:jc w:val="left"/>
    </w:pPr>
    <w:rPr>
      <w:rFonts w:cs="Arial"/>
      <w:i/>
    </w:rPr>
  </w:style>
  <w:style w:type="paragraph" w:styleId="Tekstprzypisudolnego">
    <w:name w:val="footnote text"/>
    <w:basedOn w:val="Normalny"/>
    <w:link w:val="TekstprzypisudolnegoZnak"/>
    <w:uiPriority w:val="99"/>
    <w:rsid w:val="0044785D"/>
    <w:pPr>
      <w:spacing w:line="240" w:lineRule="auto"/>
    </w:pPr>
    <w:rPr>
      <w:rFont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44785D"/>
    <w:rPr>
      <w:rFonts w:ascii="Calibri" w:eastAsia="Times New Roman" w:hAnsi="Calibri" w:cs="Times New Roman"/>
      <w:sz w:val="20"/>
      <w:szCs w:val="20"/>
      <w:lang w:val="x-none" w:eastAsia="x-none"/>
    </w:rPr>
  </w:style>
  <w:style w:type="character" w:styleId="Odwoanieprzypisudolnego">
    <w:name w:val="footnote reference"/>
    <w:rsid w:val="0044785D"/>
    <w:rPr>
      <w:rFonts w:cs="Times New Roman"/>
      <w:vertAlign w:val="superscript"/>
    </w:rPr>
  </w:style>
  <w:style w:type="paragraph" w:styleId="Akapitzlist">
    <w:name w:val="List Paragraph"/>
    <w:basedOn w:val="Normalny"/>
    <w:uiPriority w:val="34"/>
    <w:qFormat/>
    <w:rsid w:val="0044785D"/>
    <w:pPr>
      <w:ind w:left="720"/>
    </w:pPr>
  </w:style>
  <w:style w:type="paragraph" w:customStyle="1" w:styleId="Styl3podrcznik">
    <w:name w:val="Styl 3 podręcznik"/>
    <w:basedOn w:val="Nagwek3"/>
    <w:link w:val="Styl3podrcznikZnak"/>
    <w:qFormat/>
    <w:rsid w:val="0044785D"/>
    <w:pPr>
      <w:numPr>
        <w:ilvl w:val="2"/>
        <w:numId w:val="2"/>
      </w:numPr>
      <w:spacing w:before="360" w:after="360" w:line="240" w:lineRule="auto"/>
      <w:ind w:right="324"/>
      <w:jc w:val="left"/>
    </w:pPr>
    <w:rPr>
      <w:rFonts w:ascii="Arial" w:eastAsia="Times New Roman" w:hAnsi="Arial" w:cs="Times New Roman"/>
      <w:bCs/>
      <w:i/>
      <w:color w:val="4D4D4D"/>
      <w:szCs w:val="22"/>
      <w:lang w:val="x-none" w:eastAsia="x-none"/>
    </w:rPr>
  </w:style>
  <w:style w:type="character" w:customStyle="1" w:styleId="Styl3podrcznikZnak">
    <w:name w:val="Styl 3 podręcznik Znak"/>
    <w:link w:val="Styl3podrcznik"/>
    <w:rsid w:val="0044785D"/>
    <w:rPr>
      <w:rFonts w:ascii="Arial" w:eastAsia="Times New Roman" w:hAnsi="Arial" w:cs="Times New Roman"/>
      <w:bCs/>
      <w:i/>
      <w:color w:val="4D4D4D"/>
      <w:sz w:val="24"/>
      <w:lang w:val="x-none" w:eastAsia="x-none"/>
    </w:rPr>
  </w:style>
  <w:style w:type="character" w:customStyle="1" w:styleId="Nagwek3Znak">
    <w:name w:val="Nagłówek 3 Znak"/>
    <w:basedOn w:val="Domylnaczcionkaakapitu"/>
    <w:link w:val="Nagwek3"/>
    <w:uiPriority w:val="9"/>
    <w:semiHidden/>
    <w:rsid w:val="0044785D"/>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5524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Wołek</dc:creator>
  <cp:keywords/>
  <dc:description/>
  <cp:lastModifiedBy>Monika Wołek</cp:lastModifiedBy>
  <cp:revision>1</cp:revision>
  <dcterms:created xsi:type="dcterms:W3CDTF">2017-03-29T10:35:00Z</dcterms:created>
  <dcterms:modified xsi:type="dcterms:W3CDTF">2017-03-29T10:35:00Z</dcterms:modified>
</cp:coreProperties>
</file>